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44"/>
          <w:szCs w:val="44"/>
        </w:rPr>
      </w:pPr>
      <w:bookmarkStart w:id="0" w:name="OLE_LINK2"/>
    </w:p>
    <w:p>
      <w:pPr>
        <w:widowControl w:val="0"/>
        <w:spacing w:line="580" w:lineRule="exact"/>
        <w:jc w:val="center"/>
        <w:rPr>
          <w:rFonts w:hint="eastAsia" w:ascii="宋体" w:hAnsi="宋体" w:eastAsia="宋体" w:cs="Times New Roman"/>
          <w:kern w:val="2"/>
          <w:sz w:val="44"/>
          <w:szCs w:val="44"/>
        </w:rPr>
      </w:pPr>
      <w:r>
        <w:rPr>
          <w:rFonts w:hint="eastAsia" w:ascii="宋体" w:hAnsi="宋体" w:eastAsia="宋体" w:cs="Times New Roman"/>
          <w:kern w:val="2"/>
          <w:sz w:val="44"/>
          <w:szCs w:val="44"/>
        </w:rPr>
        <w:t>关于废止</w:t>
      </w:r>
      <w:r>
        <w:rPr>
          <w:rFonts w:hint="eastAsia" w:ascii="宋体" w:hAnsi="宋体" w:eastAsia="宋体" w:cs="Times New Roman"/>
          <w:b w:val="0"/>
          <w:bCs w:val="0"/>
          <w:kern w:val="2"/>
          <w:sz w:val="44"/>
          <w:szCs w:val="44"/>
          <w:lang w:val="en-US" w:eastAsia="zh-CN" w:bidi="ar-SA"/>
        </w:rPr>
        <w:t>和宣布失效</w:t>
      </w:r>
      <w:r>
        <w:rPr>
          <w:rFonts w:hint="eastAsia" w:ascii="宋体" w:hAnsi="宋体" w:eastAsia="宋体" w:cs="Times New Roman"/>
          <w:kern w:val="2"/>
          <w:sz w:val="44"/>
          <w:szCs w:val="44"/>
        </w:rPr>
        <w:t>部分</w:t>
      </w:r>
      <w:r>
        <w:rPr>
          <w:rFonts w:hint="eastAsia" w:ascii="宋体" w:hAnsi="宋体" w:eastAsia="宋体" w:cs="Times New Roman"/>
          <w:kern w:val="2"/>
          <w:sz w:val="44"/>
          <w:szCs w:val="44"/>
          <w:lang w:eastAsia="zh-CN"/>
        </w:rPr>
        <w:t>规范性</w:t>
      </w:r>
      <w:r>
        <w:rPr>
          <w:rFonts w:hint="eastAsia" w:ascii="宋体" w:hAnsi="宋体" w:eastAsia="宋体" w:cs="Times New Roman"/>
          <w:kern w:val="2"/>
          <w:sz w:val="44"/>
          <w:szCs w:val="44"/>
        </w:rPr>
        <w:t>文件的决定</w:t>
      </w:r>
    </w:p>
    <w:p>
      <w:pPr>
        <w:widowControl w:val="0"/>
        <w:spacing w:line="580" w:lineRule="exact"/>
        <w:jc w:val="center"/>
        <w:rPr>
          <w:rFonts w:hint="eastAsia" w:ascii="楷体" w:hAnsi="楷体" w:eastAsia="楷体" w:cs="Times New Roman"/>
          <w:kern w:val="2"/>
          <w:sz w:val="32"/>
          <w:szCs w:val="32"/>
        </w:rPr>
      </w:pPr>
      <w:r>
        <w:rPr>
          <w:rFonts w:hint="eastAsia" w:ascii="楷体" w:hAnsi="楷体" w:eastAsia="楷体" w:cs="Times New Roman"/>
          <w:kern w:val="2"/>
          <w:sz w:val="32"/>
          <w:szCs w:val="32"/>
        </w:rPr>
        <w:t>宿</w:t>
      </w:r>
      <w:r>
        <w:rPr>
          <w:rFonts w:hint="eastAsia" w:ascii="楷体" w:hAnsi="楷体" w:eastAsia="楷体" w:cs="Times New Roman"/>
          <w:kern w:val="2"/>
          <w:sz w:val="32"/>
          <w:szCs w:val="32"/>
          <w:lang w:eastAsia="zh-CN"/>
        </w:rPr>
        <w:t>水</w:t>
      </w:r>
      <w:r>
        <w:rPr>
          <w:rFonts w:hint="eastAsia" w:ascii="楷体" w:hAnsi="楷体" w:eastAsia="楷体" w:cs="Times New Roman"/>
          <w:kern w:val="2"/>
          <w:sz w:val="32"/>
          <w:szCs w:val="32"/>
        </w:rPr>
        <w:t>发〔202</w:t>
      </w:r>
      <w:r>
        <w:rPr>
          <w:rFonts w:hint="eastAsia" w:ascii="楷体" w:hAnsi="楷体" w:eastAsia="楷体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Times New Roman"/>
          <w:kern w:val="2"/>
          <w:sz w:val="32"/>
          <w:szCs w:val="32"/>
        </w:rPr>
        <w:t>〕</w:t>
      </w:r>
      <w:r>
        <w:rPr>
          <w:rFonts w:hint="eastAsia" w:ascii="楷体" w:hAnsi="楷体" w:eastAsia="楷体" w:cs="Times New Roman"/>
          <w:kern w:val="2"/>
          <w:sz w:val="32"/>
          <w:szCs w:val="32"/>
          <w:lang w:val="en-US" w:eastAsia="zh-CN"/>
        </w:rPr>
        <w:t>60</w:t>
      </w:r>
      <w:r>
        <w:rPr>
          <w:rFonts w:hint="eastAsia" w:ascii="楷体" w:hAnsi="楷体" w:eastAsia="楷体" w:cs="Times New Roman"/>
          <w:kern w:val="2"/>
          <w:sz w:val="32"/>
          <w:szCs w:val="32"/>
        </w:rPr>
        <w:t>号</w:t>
      </w:r>
    </w:p>
    <w:p>
      <w:pPr>
        <w:pStyle w:val="2"/>
        <w:rPr>
          <w:rFonts w:ascii="Times New Roman" w:hAnsi="Times New Roman" w:eastAsia="仿宋_GB2312"/>
        </w:rPr>
      </w:pPr>
    </w:p>
    <w:bookmarkEnd w:id="0"/>
    <w:p>
      <w:pPr>
        <w:widowControl w:val="0"/>
        <w:spacing w:line="580" w:lineRule="exact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各县（区）水利局，局机关各处室，局属各单位：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根据《市政府办公室关于开展规章</w:t>
      </w:r>
      <w:bookmarkStart w:id="1" w:name="_GoBack"/>
      <w:bookmarkEnd w:id="1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和规范性文件清理工作的通知》（宿政传发【2021】42号）要求，市水利局对现行有效的规范性文件进行了全面清理，并经会议研究通过，决定废止《宿迁市河道堤防工程占用补偿费征收使用管理实施细则》等15件规范性文件，宣布《宿迁市灾后应急治理工程建设管理办法》等2件规范性文件失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一、废止的规范性文件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1.关于印发《宿迁市河道堤防工程占用补偿费征收使用管理实施细则》的通知（宿水政〔1998〕04号 宿财综〔1998〕16号宿价费〔1998〕53号）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2.关于印发《宿迁市县乡河道疏浚工程项目验收办法》的通知（宿财农〔2003〕90号 宿水农〔2003〕34号）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3.关于印发《宿迁市水务局行政许可监督检查制度》的通知(宿水政〔2004〕9号)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4.关于印发《宿迁市河道疏浚工程项目管理实施细则（修订）》的通知（宿财农〔2005〕9号 宿水农〔2005〕6号）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5.关于印发《宿迁市水务工程施工图审查管理暂行办法》的通知（宿水基〔2007〕18号）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6.关于印发《宿迁市水务建设市场诚信管理暂行办法》的通知（宿水基〔2007〕19号）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7.关于印发《宿迁市水务工程勘测设计责任追究办法（暂行）》的通知（宿水基〔2007〕20号）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8.关于印发《宿迁市水利工程维修养护及防汛抗旱工程项目建设管理办法》的通知（宿水管〔2008〕8号）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9.关于印发《宿迁市水务工程招标文件审查暂行办法》的通知（宿水基〔2009〕13号）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10.关于印发《宿迁市水务工程招标文件审查专家考核管理暂行办法》的通知（宿水基〔2009〕14号）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11.关于印发《宿迁市农村河道管护考核实施细则》的通知（宿财农〔2010〕116号 宿水农〔2010〕77号）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12.关于印发宿迁市农村供水入户工程建设导则（试行）的通知（宿水农〔2014〕61号）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13.关于印发《宿迁市水平衡测试管理办法（试行）》的通知（宿水发〔2017〕96号）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14.关于印发《宿迁市水务工程文明工地建设实施意见》的通知（宿水发〔2017〕110号）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15.关于印发《宿迁市区计划用水户用水定额手册（试行）》的通知（宿水节〔2018〕3号）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二、宣布失效的规范性文件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1.关于印发《宿迁市灾后应急治理工程建设管理办法》的通知（宿水基〔2008〕15号）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2.关于印发《农村水利合作社建设和运行管理工作指导意见》的通知（宿水农〔2011〕110号）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本通知自发布之日起执行。</w:t>
      </w:r>
    </w:p>
    <w:p>
      <w:pPr>
        <w:pStyle w:val="2"/>
        <w:rPr>
          <w:rFonts w:ascii="Times New Roman" w:hAnsi="Times New Roman" w:eastAsia="仿宋_GB2312"/>
        </w:rPr>
      </w:pPr>
    </w:p>
    <w:p>
      <w:pPr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宿迁市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水利</w:t>
      </w:r>
      <w:r>
        <w:rPr>
          <w:rFonts w:ascii="仿宋" w:hAnsi="仿宋" w:eastAsia="仿宋" w:cs="Times New Roman"/>
          <w:kern w:val="2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202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</w:t>
      </w:r>
      <w:r>
        <w:rPr>
          <w:rFonts w:ascii="仿宋" w:hAnsi="仿宋" w:eastAsia="仿宋" w:cs="Times New Roman"/>
          <w:kern w:val="2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10</w:t>
      </w:r>
      <w:r>
        <w:rPr>
          <w:rFonts w:ascii="仿宋" w:hAnsi="仿宋" w:eastAsia="仿宋" w:cs="Times New Roman"/>
          <w:kern w:val="2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19</w:t>
      </w:r>
      <w:r>
        <w:rPr>
          <w:rFonts w:ascii="仿宋" w:hAnsi="仿宋" w:eastAsia="仿宋" w:cs="Times New Roman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（此件公开发布）</w:t>
      </w:r>
    </w:p>
    <w:p/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016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4"/>
      <w:wordWrap w:val="0"/>
      <w:ind w:left="5016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宿迁市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水利局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4"/>
      <w:wordWrap w:val="0"/>
      <w:ind w:left="5016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hint="eastAsia"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widowControl w:val="0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32"/>
      </w:rPr>
      <w:t>宿迁</w:t>
    </w:r>
    <w:r>
      <w:rPr>
        <w:rFonts w:hint="eastAsia" w:ascii="宋体" w:hAnsi="宋体" w:cs="宋体"/>
        <w:b/>
        <w:bCs/>
        <w:color w:val="005192"/>
        <w:sz w:val="32"/>
        <w:szCs w:val="32"/>
      </w:rPr>
      <w:t>市行政规范性文件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ODNjZmY2YjBlZWNlNTk3Yzg2MGNkMDY5NWY1YjcifQ=="/>
  </w:docVars>
  <w:rsids>
    <w:rsidRoot w:val="1A2D0C88"/>
    <w:rsid w:val="1A2D0C88"/>
    <w:rsid w:val="6086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Calibri" w:hAnsi="NEU-BZ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2024-01-19T11:45:00Z</dcterms:created>
  <dc:creator>Administrator</dc:creator>
  <cp:lastModifiedBy>Administrator</cp:lastModifiedBy>
  <dcterms:modified xsi:type="dcterms:W3CDTF">2024-01-19T11:49:00Z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0F283BF4F5374BBD841C94FE12243D88_11</vt:lpwstr>
  </property>
</Properties>
</file>